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D0" w:rsidRPr="00D81FD0" w:rsidRDefault="00D81FD0" w:rsidP="00D81FD0">
      <w:pPr>
        <w:pStyle w:val="a3"/>
        <w:spacing w:before="120" w:beforeAutospacing="0" w:after="120" w:afterAutospacing="0" w:line="408" w:lineRule="atLeast"/>
        <w:jc w:val="center"/>
        <w:rPr>
          <w:b/>
          <w:color w:val="000000" w:themeColor="text1"/>
          <w:sz w:val="28"/>
          <w:szCs w:val="28"/>
        </w:rPr>
      </w:pPr>
      <w:r w:rsidRPr="00D81FD0">
        <w:rPr>
          <w:b/>
          <w:color w:val="000000" w:themeColor="text1"/>
          <w:sz w:val="28"/>
          <w:szCs w:val="28"/>
        </w:rPr>
        <w:t>О реформе ТКО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Реформа отрасли обращения с твердыми коммунальными отходами в России — комплекс мероприятий по изменению структуры системы обращения с отходами, который реализует Правительство и регионы Российской Федерации.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Этапы реформы: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1. Подготовка и согласование территориальных схем обращения с отходами в каждом регионе страны.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2. Выбор региональных операторов, которые будут отвечать за весь цикл обращения с отходами.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3.</w:t>
      </w:r>
      <w:r w:rsidR="00D81FD0" w:rsidRPr="00D81FD0">
        <w:rPr>
          <w:color w:val="000000" w:themeColor="text1"/>
          <w:sz w:val="28"/>
          <w:szCs w:val="28"/>
        </w:rPr>
        <w:t xml:space="preserve"> </w:t>
      </w:r>
      <w:r w:rsidRPr="00D81FD0">
        <w:rPr>
          <w:color w:val="000000" w:themeColor="text1"/>
          <w:sz w:val="28"/>
          <w:szCs w:val="28"/>
        </w:rPr>
        <w:t>Установка единого тарифа по региону на услугу по обращению с отходами.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4. Создание в регионах современных высокотехнологичных комплексов по утилизации отходов.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Параллельно с этими мерами планируется постепенное введение раздельного сбора мусора.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 xml:space="preserve">Территориальная схема обращения с твёрдыми коммунальными отходами— </w:t>
      </w:r>
      <w:proofErr w:type="gramStart"/>
      <w:r w:rsidRPr="00D81FD0">
        <w:rPr>
          <w:color w:val="000000" w:themeColor="text1"/>
          <w:sz w:val="28"/>
          <w:szCs w:val="28"/>
        </w:rPr>
        <w:t>эт</w:t>
      </w:r>
      <w:proofErr w:type="gramEnd"/>
      <w:r w:rsidRPr="00D81FD0">
        <w:rPr>
          <w:color w:val="000000" w:themeColor="text1"/>
          <w:sz w:val="28"/>
          <w:szCs w:val="28"/>
        </w:rPr>
        <w:t>о подробное описание системы организации и осуществления сбора, транспортировки, обработки, утилизации, обезвреживания и захоронения отходов на территории субъекта РФ за определённый период.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Региональный оператор – это ключевое звено новой системы обращения с твердыми коммунальными отходами (далее — ТКО),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Региональный оператор обеспечивает сбор, транспортировку, обработку, утилизацию, обезвреживание, захоронение ТКО на территории субъекта РФ в соответствии с региональной программой в области обращения с отходами и территориальной схемой обращения с отходами.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Региональный оператор не имеет права отказаться заключать договор на оказание услуг по обращению с ТКО, если места сбора и накопления отходов находятся в его зоне деятельности.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Согласно поправкам в</w:t>
      </w:r>
      <w:r w:rsidR="00D81FD0" w:rsidRPr="00D81FD0">
        <w:rPr>
          <w:color w:val="000000" w:themeColor="text1"/>
          <w:sz w:val="28"/>
          <w:szCs w:val="28"/>
        </w:rPr>
        <w:t xml:space="preserve"> Федеральный закон № 458 от  29 декабря 2014 года</w:t>
      </w:r>
      <w:r w:rsidRPr="00D81FD0">
        <w:rPr>
          <w:color w:val="000000" w:themeColor="text1"/>
          <w:sz w:val="28"/>
          <w:szCs w:val="28"/>
        </w:rPr>
        <w:t xml:space="preserve"> услуга по сбору и вывозу ТКО перешла из </w:t>
      </w:r>
      <w:proofErr w:type="gramStart"/>
      <w:r w:rsidRPr="00D81FD0">
        <w:rPr>
          <w:color w:val="000000" w:themeColor="text1"/>
          <w:sz w:val="28"/>
          <w:szCs w:val="28"/>
        </w:rPr>
        <w:t>жилищной</w:t>
      </w:r>
      <w:proofErr w:type="gramEnd"/>
      <w:r w:rsidRPr="00D81FD0">
        <w:rPr>
          <w:color w:val="000000" w:themeColor="text1"/>
          <w:sz w:val="28"/>
          <w:szCs w:val="28"/>
        </w:rPr>
        <w:t xml:space="preserve"> в коммунальную.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Согласно новым правилам, каждому субъекту РФ необходимо будет установить единый по всему региону тариф на услугу по обращению с отходами в отношении выбранного регионального оператора.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Вся реформа призвана урегулировать сферу сбора и вывоза мусора.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Вместо полигонов по захоронению отходов планируется строительство современных предприятий по переработке мусора.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Система сбора и обработки мусора в России практически не обновлялась в течение последних 40—50 лет.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lastRenderedPageBreak/>
        <w:t>Общая система обращения с отходами сформирована пятью основными звеньями: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полигоны;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компании-перевозчики (сбор и вывоз мусора — обычно несколько компаний в регионе);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 xml:space="preserve">- комплексные мусороперерабатывающие заводы (сортировка, переработка, сжигание, захоронение </w:t>
      </w:r>
      <w:proofErr w:type="spellStart"/>
      <w:r w:rsidRPr="00D81FD0">
        <w:rPr>
          <w:color w:val="000000" w:themeColor="text1"/>
          <w:sz w:val="28"/>
          <w:szCs w:val="28"/>
        </w:rPr>
        <w:t>неперерабатываемых</w:t>
      </w:r>
      <w:proofErr w:type="spellEnd"/>
      <w:r w:rsidRPr="00D81FD0">
        <w:rPr>
          <w:color w:val="000000" w:themeColor="text1"/>
          <w:sz w:val="28"/>
          <w:szCs w:val="28"/>
        </w:rPr>
        <w:t xml:space="preserve"> отходов);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мусоросжигательные заводы;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- специализированные предприятия. </w:t>
      </w:r>
    </w:p>
    <w:p w:rsidR="00AC524F" w:rsidRP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 xml:space="preserve">По-прежнему одной из основных тенденций в области переработки мусора остаётся рост общей площади полигонов. Основной сложностью на пути к переработке ТКО является отсутствие в нашей стране системы раздельного сбора мусора, являющейся неизбежным условием </w:t>
      </w:r>
      <w:proofErr w:type="gramStart"/>
      <w:r w:rsidRPr="00D81FD0">
        <w:rPr>
          <w:color w:val="000000" w:themeColor="text1"/>
          <w:sz w:val="28"/>
          <w:szCs w:val="28"/>
        </w:rPr>
        <w:t>для</w:t>
      </w:r>
      <w:proofErr w:type="gramEnd"/>
      <w:r w:rsidRPr="00D81FD0">
        <w:rPr>
          <w:color w:val="000000" w:themeColor="text1"/>
          <w:sz w:val="28"/>
          <w:szCs w:val="28"/>
        </w:rPr>
        <w:t xml:space="preserve"> </w:t>
      </w:r>
      <w:proofErr w:type="gramStart"/>
      <w:r w:rsidRPr="00D81FD0">
        <w:rPr>
          <w:color w:val="000000" w:themeColor="text1"/>
          <w:sz w:val="28"/>
          <w:szCs w:val="28"/>
        </w:rPr>
        <w:t>их</w:t>
      </w:r>
      <w:proofErr w:type="gramEnd"/>
      <w:r w:rsidRPr="00D81FD0">
        <w:rPr>
          <w:color w:val="000000" w:themeColor="text1"/>
          <w:sz w:val="28"/>
          <w:szCs w:val="28"/>
        </w:rPr>
        <w:t xml:space="preserve"> глубокого </w:t>
      </w:r>
      <w:proofErr w:type="spellStart"/>
      <w:r w:rsidRPr="00D81FD0">
        <w:rPr>
          <w:color w:val="000000" w:themeColor="text1"/>
          <w:sz w:val="28"/>
          <w:szCs w:val="28"/>
        </w:rPr>
        <w:t>рециклинга</w:t>
      </w:r>
      <w:proofErr w:type="spellEnd"/>
      <w:r w:rsidRPr="00D81FD0">
        <w:rPr>
          <w:color w:val="000000" w:themeColor="text1"/>
          <w:sz w:val="28"/>
          <w:szCs w:val="28"/>
        </w:rPr>
        <w:t>. Так, 60—</w:t>
      </w:r>
      <w:r w:rsidR="00D81FD0" w:rsidRPr="00D81FD0">
        <w:rPr>
          <w:color w:val="000000" w:themeColor="text1"/>
          <w:sz w:val="28"/>
          <w:szCs w:val="28"/>
        </w:rPr>
        <w:t>80 % морфологического состава ТК</w:t>
      </w:r>
      <w:r w:rsidRPr="00D81FD0">
        <w:rPr>
          <w:color w:val="000000" w:themeColor="text1"/>
          <w:sz w:val="28"/>
          <w:szCs w:val="28"/>
        </w:rPr>
        <w:t xml:space="preserve">О представляет собой потенциальное сырье для использования в промышленности (35—45 %) или компостирования (25—35 %). Однако сортировка смешанных и перевезённых в одном мусоровозе ТКО позволяет извлечь лишь 11—15 % вторичных ресурсов. При этом практически невозможно использовать </w:t>
      </w:r>
      <w:proofErr w:type="spellStart"/>
      <w:r w:rsidRPr="00D81FD0">
        <w:rPr>
          <w:color w:val="000000" w:themeColor="text1"/>
          <w:sz w:val="28"/>
          <w:szCs w:val="28"/>
        </w:rPr>
        <w:t>биоразлагаемые</w:t>
      </w:r>
      <w:proofErr w:type="spellEnd"/>
      <w:r w:rsidRPr="00D81FD0">
        <w:rPr>
          <w:color w:val="000000" w:themeColor="text1"/>
          <w:sz w:val="28"/>
          <w:szCs w:val="28"/>
        </w:rPr>
        <w:t xml:space="preserve"> (органические) отходы. </w:t>
      </w:r>
    </w:p>
    <w:p w:rsidR="00D81FD0" w:rsidRDefault="00AC524F" w:rsidP="00D81FD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1FD0">
        <w:rPr>
          <w:color w:val="000000" w:themeColor="text1"/>
          <w:sz w:val="28"/>
          <w:szCs w:val="28"/>
        </w:rPr>
        <w:t>Именно поэтому основная задача реформы заключается в формировании принципиально новой, современной системы обращения с твердыми коммунальными отходами — системы, направленной на повышение экологической сознательности населения и создание такой инфраструктуры, которая позволит максимально сократить захоронение полезных фракций и перейти на их переработку и вторичное вовлечение в промышленное производство. Успех реформы может быть связан только с созданием новых современных объектов, задействованных в системе сбора и удаления отходов — от заводов до полигонов, оборудованных современными природоохранными сооружениями. В рамках реформы будет полностью исключена возможность использования для раз</w:t>
      </w:r>
      <w:r w:rsidR="00D81FD0">
        <w:rPr>
          <w:color w:val="000000" w:themeColor="text1"/>
          <w:sz w:val="28"/>
          <w:szCs w:val="28"/>
        </w:rPr>
        <w:t xml:space="preserve">мещения ТКО несанкционированных </w:t>
      </w:r>
      <w:r w:rsidRPr="00D81FD0">
        <w:rPr>
          <w:color w:val="000000" w:themeColor="text1"/>
          <w:sz w:val="28"/>
          <w:szCs w:val="28"/>
        </w:rPr>
        <w:t>свалок.</w:t>
      </w:r>
    </w:p>
    <w:p w:rsidR="00AC524F" w:rsidRDefault="00AC524F" w:rsidP="00AC524F">
      <w:pPr>
        <w:pStyle w:val="a3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9B201C" w:rsidRPr="00D81FD0" w:rsidRDefault="00AC524F" w:rsidP="00D81FD0">
      <w:pPr>
        <w:pStyle w:val="a3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noProof/>
        </w:rPr>
        <w:drawing>
          <wp:inline distT="0" distB="0" distL="0" distR="0" wp14:anchorId="21243031" wp14:editId="04598300">
            <wp:extent cx="4267200" cy="2665017"/>
            <wp:effectExtent l="0" t="0" r="0" b="2540"/>
            <wp:docPr id="3" name="Рисунок 3" descr="ÐÐ°ÑÑÐ¸Ð½ÐºÐ¸ Ð¿Ð¾ Ð·Ð°Ð¿ÑÐ¾ÑÑ ÑÐ°Ð·Ð´ÐµÐ»ÑÐ¹ Ð¼ÑÑÐ¾Ñ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Ð°Ð·Ð´ÐµÐ»ÑÐ¹ Ð¼ÑÑÐ¾Ñ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20" cy="26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01C" w:rsidRPr="00D81FD0" w:rsidSect="00D81F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01"/>
    <w:rsid w:val="00003353"/>
    <w:rsid w:val="00007E9C"/>
    <w:rsid w:val="000142B7"/>
    <w:rsid w:val="00020971"/>
    <w:rsid w:val="00020B67"/>
    <w:rsid w:val="00021F8D"/>
    <w:rsid w:val="00027671"/>
    <w:rsid w:val="00035F2B"/>
    <w:rsid w:val="0004128C"/>
    <w:rsid w:val="000413C6"/>
    <w:rsid w:val="0005191B"/>
    <w:rsid w:val="000807D9"/>
    <w:rsid w:val="000A4A9B"/>
    <w:rsid w:val="000B31DA"/>
    <w:rsid w:val="000C0829"/>
    <w:rsid w:val="000C6923"/>
    <w:rsid w:val="000C7728"/>
    <w:rsid w:val="000D3656"/>
    <w:rsid w:val="000E321C"/>
    <w:rsid w:val="000F3A14"/>
    <w:rsid w:val="00102281"/>
    <w:rsid w:val="001147D6"/>
    <w:rsid w:val="00114C48"/>
    <w:rsid w:val="00114FF1"/>
    <w:rsid w:val="00131CC9"/>
    <w:rsid w:val="00136F46"/>
    <w:rsid w:val="00154A23"/>
    <w:rsid w:val="00171BB4"/>
    <w:rsid w:val="00174915"/>
    <w:rsid w:val="001C050F"/>
    <w:rsid w:val="001E3C83"/>
    <w:rsid w:val="00200D40"/>
    <w:rsid w:val="002372B2"/>
    <w:rsid w:val="00241A86"/>
    <w:rsid w:val="0024523F"/>
    <w:rsid w:val="00247664"/>
    <w:rsid w:val="00276A5F"/>
    <w:rsid w:val="00294C6A"/>
    <w:rsid w:val="00295C87"/>
    <w:rsid w:val="002A2ECD"/>
    <w:rsid w:val="002C07A3"/>
    <w:rsid w:val="002C6A14"/>
    <w:rsid w:val="002D1028"/>
    <w:rsid w:val="002D328D"/>
    <w:rsid w:val="002D32EB"/>
    <w:rsid w:val="002E2971"/>
    <w:rsid w:val="0030453B"/>
    <w:rsid w:val="00335F03"/>
    <w:rsid w:val="003414B7"/>
    <w:rsid w:val="00342BD3"/>
    <w:rsid w:val="00343871"/>
    <w:rsid w:val="0034428E"/>
    <w:rsid w:val="00365917"/>
    <w:rsid w:val="00366DCF"/>
    <w:rsid w:val="00367546"/>
    <w:rsid w:val="00373572"/>
    <w:rsid w:val="003763A6"/>
    <w:rsid w:val="00376D01"/>
    <w:rsid w:val="00380961"/>
    <w:rsid w:val="00381E3B"/>
    <w:rsid w:val="00387F99"/>
    <w:rsid w:val="003C1351"/>
    <w:rsid w:val="003C4BBD"/>
    <w:rsid w:val="003C6F55"/>
    <w:rsid w:val="003E49EE"/>
    <w:rsid w:val="003F2EF9"/>
    <w:rsid w:val="00412A7F"/>
    <w:rsid w:val="00424A83"/>
    <w:rsid w:val="00431ADB"/>
    <w:rsid w:val="0043774A"/>
    <w:rsid w:val="0044350E"/>
    <w:rsid w:val="00443536"/>
    <w:rsid w:val="00452FBE"/>
    <w:rsid w:val="00467FD4"/>
    <w:rsid w:val="00481236"/>
    <w:rsid w:val="00482E01"/>
    <w:rsid w:val="00484A04"/>
    <w:rsid w:val="00484B01"/>
    <w:rsid w:val="00484DD2"/>
    <w:rsid w:val="0048643D"/>
    <w:rsid w:val="00487D36"/>
    <w:rsid w:val="0049595F"/>
    <w:rsid w:val="004967AD"/>
    <w:rsid w:val="004A4A3F"/>
    <w:rsid w:val="004D3F85"/>
    <w:rsid w:val="004E6DB9"/>
    <w:rsid w:val="0051677E"/>
    <w:rsid w:val="005311E1"/>
    <w:rsid w:val="005343CF"/>
    <w:rsid w:val="00573953"/>
    <w:rsid w:val="00586004"/>
    <w:rsid w:val="005A3075"/>
    <w:rsid w:val="005C2242"/>
    <w:rsid w:val="005E5ED0"/>
    <w:rsid w:val="005F31B1"/>
    <w:rsid w:val="006473B6"/>
    <w:rsid w:val="00663C94"/>
    <w:rsid w:val="0066455C"/>
    <w:rsid w:val="00687C25"/>
    <w:rsid w:val="006D5358"/>
    <w:rsid w:val="006E0EEF"/>
    <w:rsid w:val="006F0C11"/>
    <w:rsid w:val="006F2370"/>
    <w:rsid w:val="006F5B71"/>
    <w:rsid w:val="0070514C"/>
    <w:rsid w:val="00727555"/>
    <w:rsid w:val="007372B1"/>
    <w:rsid w:val="00754256"/>
    <w:rsid w:val="007550DA"/>
    <w:rsid w:val="00762349"/>
    <w:rsid w:val="007736CB"/>
    <w:rsid w:val="00790A1E"/>
    <w:rsid w:val="00795C7D"/>
    <w:rsid w:val="007D4CD1"/>
    <w:rsid w:val="007D5383"/>
    <w:rsid w:val="007E5E8E"/>
    <w:rsid w:val="007E5FB1"/>
    <w:rsid w:val="007F6C8F"/>
    <w:rsid w:val="00810158"/>
    <w:rsid w:val="008739FE"/>
    <w:rsid w:val="0089496A"/>
    <w:rsid w:val="008C12F2"/>
    <w:rsid w:val="008C7038"/>
    <w:rsid w:val="008F30D1"/>
    <w:rsid w:val="008F6038"/>
    <w:rsid w:val="0091548B"/>
    <w:rsid w:val="00955050"/>
    <w:rsid w:val="00966B5D"/>
    <w:rsid w:val="009676C2"/>
    <w:rsid w:val="00975B6A"/>
    <w:rsid w:val="00982CA1"/>
    <w:rsid w:val="00995E1C"/>
    <w:rsid w:val="009A4E8A"/>
    <w:rsid w:val="009B201C"/>
    <w:rsid w:val="009C06A9"/>
    <w:rsid w:val="009D3BAF"/>
    <w:rsid w:val="009F5C10"/>
    <w:rsid w:val="009F6293"/>
    <w:rsid w:val="00A01B81"/>
    <w:rsid w:val="00A42EEA"/>
    <w:rsid w:val="00A544A9"/>
    <w:rsid w:val="00A71540"/>
    <w:rsid w:val="00AA6318"/>
    <w:rsid w:val="00AC3A84"/>
    <w:rsid w:val="00AC524F"/>
    <w:rsid w:val="00AD16B8"/>
    <w:rsid w:val="00AD29D3"/>
    <w:rsid w:val="00AD4FAB"/>
    <w:rsid w:val="00AE0372"/>
    <w:rsid w:val="00AF5CD3"/>
    <w:rsid w:val="00B10203"/>
    <w:rsid w:val="00B41CA9"/>
    <w:rsid w:val="00B44FAC"/>
    <w:rsid w:val="00B61C89"/>
    <w:rsid w:val="00B63A54"/>
    <w:rsid w:val="00B63C02"/>
    <w:rsid w:val="00B65CC0"/>
    <w:rsid w:val="00B73B8A"/>
    <w:rsid w:val="00B87B3E"/>
    <w:rsid w:val="00B9134F"/>
    <w:rsid w:val="00BB1079"/>
    <w:rsid w:val="00BB17F9"/>
    <w:rsid w:val="00BB3471"/>
    <w:rsid w:val="00BB4A47"/>
    <w:rsid w:val="00BC42FC"/>
    <w:rsid w:val="00BD66FF"/>
    <w:rsid w:val="00BF27D5"/>
    <w:rsid w:val="00BF7B61"/>
    <w:rsid w:val="00C0326E"/>
    <w:rsid w:val="00C04115"/>
    <w:rsid w:val="00C10073"/>
    <w:rsid w:val="00C13A6B"/>
    <w:rsid w:val="00C15247"/>
    <w:rsid w:val="00C37DF0"/>
    <w:rsid w:val="00C44A53"/>
    <w:rsid w:val="00C53A75"/>
    <w:rsid w:val="00C63B89"/>
    <w:rsid w:val="00C80B13"/>
    <w:rsid w:val="00C82D7F"/>
    <w:rsid w:val="00CA6DDC"/>
    <w:rsid w:val="00CB1FF3"/>
    <w:rsid w:val="00CD3779"/>
    <w:rsid w:val="00CD6200"/>
    <w:rsid w:val="00CE4FA0"/>
    <w:rsid w:val="00CF294D"/>
    <w:rsid w:val="00D1578E"/>
    <w:rsid w:val="00D359FD"/>
    <w:rsid w:val="00D45BD7"/>
    <w:rsid w:val="00D47776"/>
    <w:rsid w:val="00D55E98"/>
    <w:rsid w:val="00D81FD0"/>
    <w:rsid w:val="00D95A12"/>
    <w:rsid w:val="00DA3513"/>
    <w:rsid w:val="00DC3165"/>
    <w:rsid w:val="00DD08DF"/>
    <w:rsid w:val="00DE0113"/>
    <w:rsid w:val="00DE6449"/>
    <w:rsid w:val="00DE6C47"/>
    <w:rsid w:val="00E11452"/>
    <w:rsid w:val="00E1249F"/>
    <w:rsid w:val="00E12E3E"/>
    <w:rsid w:val="00E16444"/>
    <w:rsid w:val="00E31D31"/>
    <w:rsid w:val="00E33477"/>
    <w:rsid w:val="00E43C84"/>
    <w:rsid w:val="00E50ADE"/>
    <w:rsid w:val="00E55111"/>
    <w:rsid w:val="00E66789"/>
    <w:rsid w:val="00E71C5A"/>
    <w:rsid w:val="00E73623"/>
    <w:rsid w:val="00EA5DEC"/>
    <w:rsid w:val="00EB030C"/>
    <w:rsid w:val="00EC1D44"/>
    <w:rsid w:val="00EC259D"/>
    <w:rsid w:val="00EC5FE6"/>
    <w:rsid w:val="00F0268D"/>
    <w:rsid w:val="00F073CE"/>
    <w:rsid w:val="00F07B5E"/>
    <w:rsid w:val="00F1362B"/>
    <w:rsid w:val="00F238E8"/>
    <w:rsid w:val="00F30FA7"/>
    <w:rsid w:val="00F50AA1"/>
    <w:rsid w:val="00F57405"/>
    <w:rsid w:val="00F91FC5"/>
    <w:rsid w:val="00FC7472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cp:lastPrinted>2019-07-23T08:37:00Z</cp:lastPrinted>
  <dcterms:created xsi:type="dcterms:W3CDTF">2019-07-22T08:46:00Z</dcterms:created>
  <dcterms:modified xsi:type="dcterms:W3CDTF">2019-07-23T08:45:00Z</dcterms:modified>
</cp:coreProperties>
</file>