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382B1E" w:rsidRDefault="001B4C92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роекта </w:t>
            </w:r>
            <w:r w:rsidR="00382B1E"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постановления администрации муниципального образования Мостовский район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</w:t>
            </w:r>
            <w:r w:rsidRPr="001B4C9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«Выдача градостроительных планов земельных участков»» </w:t>
            </w:r>
            <w:r w:rsidR="00382B1E"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 w:rsidR="0038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B1E"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382B1E" w:rsidRPr="001B4C92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382B1E" w:rsidRPr="001B4C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1B4C92">
              <w:rPr>
                <w:rFonts w:ascii="Times New Roman" w:hAnsi="Times New Roman" w:cs="Times New Roman"/>
                <w:bCs/>
              </w:rPr>
              <w:t xml:space="preserve">15 </w:t>
            </w:r>
            <w:r w:rsidR="00A921B2">
              <w:rPr>
                <w:rFonts w:ascii="Times New Roman" w:hAnsi="Times New Roman" w:cs="Times New Roman"/>
                <w:bCs/>
              </w:rPr>
              <w:t xml:space="preserve">по </w:t>
            </w:r>
            <w:r w:rsidR="001B4C92">
              <w:rPr>
                <w:rFonts w:ascii="Times New Roman" w:hAnsi="Times New Roman" w:cs="Times New Roman"/>
                <w:bCs/>
              </w:rPr>
              <w:t>23</w:t>
            </w:r>
            <w:r w:rsidR="00A921B2">
              <w:rPr>
                <w:rFonts w:ascii="Times New Roman" w:hAnsi="Times New Roman" w:cs="Times New Roman"/>
                <w:bCs/>
              </w:rPr>
              <w:t xml:space="preserve"> </w:t>
            </w:r>
            <w:r w:rsidR="001B4C92">
              <w:rPr>
                <w:rFonts w:ascii="Times New Roman" w:hAnsi="Times New Roman" w:cs="Times New Roman"/>
                <w:bCs/>
              </w:rPr>
              <w:t xml:space="preserve">марта </w:t>
            </w:r>
            <w:r w:rsidRPr="00382B1E">
              <w:rPr>
                <w:rFonts w:ascii="Times New Roman" w:hAnsi="Times New Roman" w:cs="Times New Roman"/>
                <w:bCs/>
              </w:rPr>
              <w:t>201</w:t>
            </w:r>
            <w:r w:rsidR="001B4C92">
              <w:rPr>
                <w:rFonts w:ascii="Times New Roman" w:hAnsi="Times New Roman" w:cs="Times New Roman"/>
                <w:bCs/>
              </w:rPr>
              <w:t>8</w:t>
            </w:r>
            <w:bookmarkStart w:id="0" w:name="_GoBack"/>
            <w:bookmarkEnd w:id="0"/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2F" w:rsidRDefault="00F9102F" w:rsidP="005B1647">
      <w:r>
        <w:separator/>
      </w:r>
    </w:p>
  </w:endnote>
  <w:endnote w:type="continuationSeparator" w:id="0">
    <w:p w:rsidR="00F9102F" w:rsidRDefault="00F9102F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2F" w:rsidRDefault="00F9102F" w:rsidP="005B1647">
      <w:r>
        <w:separator/>
      </w:r>
    </w:p>
  </w:footnote>
  <w:footnote w:type="continuationSeparator" w:id="0">
    <w:p w:rsidR="00F9102F" w:rsidRDefault="00F9102F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1B4C92">
          <w:rPr>
            <w:rFonts w:ascii="Times New Roman" w:hAnsi="Times New Roman" w:cs="Times New Roman"/>
            <w:noProof/>
          </w:rPr>
          <w:t>2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4C92"/>
    <w:rsid w:val="001D544D"/>
    <w:rsid w:val="00382B1E"/>
    <w:rsid w:val="004016FD"/>
    <w:rsid w:val="005B1647"/>
    <w:rsid w:val="005E0B5B"/>
    <w:rsid w:val="006A429F"/>
    <w:rsid w:val="0075094E"/>
    <w:rsid w:val="00826B21"/>
    <w:rsid w:val="008A32E4"/>
    <w:rsid w:val="00A63963"/>
    <w:rsid w:val="00A921B2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14</cp:revision>
  <cp:lastPrinted>2017-12-08T07:48:00Z</cp:lastPrinted>
  <dcterms:created xsi:type="dcterms:W3CDTF">2015-07-24T14:58:00Z</dcterms:created>
  <dcterms:modified xsi:type="dcterms:W3CDTF">2018-03-15T08:44:00Z</dcterms:modified>
</cp:coreProperties>
</file>